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r>
      <w:r w:rsidR="00363390" w:rsidRPr="00363390">
        <w:t>R1-1609619</w:t>
      </w:r>
      <w:bookmarkStart w:id="0" w:name="_GoBack"/>
      <w:bookmarkEnd w:id="0"/>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580D67">
        <w:t>downlink control channels</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537B4C">
        <w:t>8</w:t>
      </w:r>
      <w:r w:rsidR="008F77A7" w:rsidRPr="00537B4C">
        <w:t>.1.</w:t>
      </w:r>
      <w:r w:rsidR="00E13BDA">
        <w:t>7</w:t>
      </w:r>
      <w:r w:rsidR="00B5516A">
        <w:t>.1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CE4E11" w:rsidRDefault="008B38BA" w:rsidP="00CE4E11">
      <w:pPr>
        <w:pStyle w:val="BodyText"/>
      </w:pPr>
      <w:r>
        <w:t>In this contribution some high-level views on downlink control signaling are summarized.</w:t>
      </w:r>
    </w:p>
    <w:p w:rsidR="00FE5799" w:rsidRDefault="00037C51" w:rsidP="00FE5799">
      <w:pPr>
        <w:pStyle w:val="Heading1"/>
        <w:spacing w:before="180"/>
        <w:ind w:left="562" w:hanging="562"/>
      </w:pPr>
      <w:r>
        <w:t>Discussion</w:t>
      </w:r>
    </w:p>
    <w:p w:rsidR="00EE478D" w:rsidRPr="00EE478D" w:rsidRDefault="008B38BA" w:rsidP="00EE478D">
      <w:pPr>
        <w:pStyle w:val="Heading2"/>
      </w:pPr>
      <w:r>
        <w:t>Beamforming</w:t>
      </w:r>
      <w:r w:rsidR="00EE478D">
        <w:t xml:space="preserve"> and control channels</w:t>
      </w:r>
    </w:p>
    <w:p w:rsidR="0091488F" w:rsidRDefault="00F51EB4" w:rsidP="0091488F">
      <w:pPr>
        <w:pStyle w:val="BodyText"/>
      </w:pPr>
      <w:r>
        <w:t xml:space="preserve">Beamforming and various multi-antenna schemes will play an important role in NR. To fully benefit from beamforming, it is important to be able to </w:t>
      </w:r>
      <w:proofErr w:type="spellStart"/>
      <w:r>
        <w:t>beamform</w:t>
      </w:r>
      <w:proofErr w:type="spellEnd"/>
      <w:r>
        <w:t xml:space="preserve"> not only downlink data but also the downlink control signaling. This leads to a couple of principles</w:t>
      </w:r>
    </w:p>
    <w:p w:rsidR="00F51EB4" w:rsidRDefault="00F51EB4" w:rsidP="00F51EB4">
      <w:pPr>
        <w:pStyle w:val="BodyText"/>
        <w:numPr>
          <w:ilvl w:val="0"/>
          <w:numId w:val="21"/>
        </w:numPr>
      </w:pPr>
      <w:r>
        <w:t>Downlink control channels</w:t>
      </w:r>
      <w:r w:rsidR="00643A16">
        <w:t>, e.g. PDCCH,</w:t>
      </w:r>
      <w:r>
        <w:t xml:space="preserve"> need to have their own reference signals for demodulation</w:t>
      </w:r>
    </w:p>
    <w:p w:rsidR="00643A16" w:rsidRDefault="00643A16" w:rsidP="00F51EB4">
      <w:pPr>
        <w:pStyle w:val="BodyText"/>
        <w:numPr>
          <w:ilvl w:val="0"/>
          <w:numId w:val="21"/>
        </w:numPr>
      </w:pPr>
      <w:r>
        <w:t xml:space="preserve">Broadcast control channels, such as the PCFICH in LTE, should be avoided </w:t>
      </w:r>
    </w:p>
    <w:p w:rsidR="00EE478D" w:rsidRDefault="00EE478D" w:rsidP="00EE478D">
      <w:pPr>
        <w:pStyle w:val="BodyText"/>
      </w:pPr>
      <w:r>
        <w:t xml:space="preserve">Compared to LTE, only the PDCCH is needed. The PCFICH should be avoided for the </w:t>
      </w:r>
      <w:r w:rsidR="00DF71DB">
        <w:t>reasons</w:t>
      </w:r>
      <w:r>
        <w:t xml:space="preserve"> above and since </w:t>
      </w:r>
      <w:proofErr w:type="spellStart"/>
      <w:proofErr w:type="gramStart"/>
      <w:r>
        <w:t>a</w:t>
      </w:r>
      <w:proofErr w:type="spellEnd"/>
      <w:proofErr w:type="gramEnd"/>
      <w:r>
        <w:t xml:space="preserve"> asynchronous HARQ is the baseline, there is no need for a PHCIH either.</w:t>
      </w:r>
    </w:p>
    <w:p w:rsidR="00EE478D" w:rsidRDefault="00EE478D" w:rsidP="00EE478D">
      <w:pPr>
        <w:pStyle w:val="Heading2"/>
      </w:pPr>
      <w:r>
        <w:t xml:space="preserve">Forward </w:t>
      </w:r>
      <w:r w:rsidR="00DF71DB">
        <w:t>compatibility</w:t>
      </w:r>
      <w:r w:rsidR="00841BE8">
        <w:t xml:space="preserve"> and frequency-domain mapping</w:t>
      </w:r>
    </w:p>
    <w:p w:rsidR="00643A16" w:rsidRDefault="00643A16" w:rsidP="00643A16">
      <w:pPr>
        <w:pStyle w:val="BodyText"/>
      </w:pPr>
      <w:r>
        <w:t xml:space="preserve">To ensure a high </w:t>
      </w:r>
      <w:r w:rsidR="00DF71DB">
        <w:t>degree</w:t>
      </w:r>
      <w:r>
        <w:t xml:space="preserve"> of forward compatibility, transmissions should not be spread out across the full system bandwidth in a static manner as is the case with the LTE control channels. In particular if one </w:t>
      </w:r>
      <w:r w:rsidR="00DF71DB">
        <w:t>envisions</w:t>
      </w:r>
      <w:r>
        <w:t xml:space="preserve"> different UE capabilities in terms of the supported bandwidth not all UEs may be able to support the full system bandwidth and the UE may not even be aware of it. Hence, control channels should adhere to the “stay-in-the-box” principle.</w:t>
      </w:r>
    </w:p>
    <w:p w:rsidR="00643A16" w:rsidRDefault="00643A16" w:rsidP="00643A16">
      <w:pPr>
        <w:pStyle w:val="BodyText"/>
        <w:numPr>
          <w:ilvl w:val="0"/>
          <w:numId w:val="22"/>
        </w:numPr>
      </w:pPr>
      <w:r>
        <w:t xml:space="preserve">Downlink control channels should </w:t>
      </w:r>
      <w:r w:rsidR="00DF71DB">
        <w:t>be</w:t>
      </w:r>
      <w:r>
        <w:t xml:space="preserve"> localized </w:t>
      </w:r>
      <w:r w:rsidR="0083689E">
        <w:t>to a “</w:t>
      </w:r>
      <w:proofErr w:type="spellStart"/>
      <w:r w:rsidR="0083689E">
        <w:t>subband</w:t>
      </w:r>
      <w:proofErr w:type="spellEnd"/>
      <w:r w:rsidR="0083689E">
        <w:t xml:space="preserve">”, i.e. not </w:t>
      </w:r>
      <w:r>
        <w:t>spa</w:t>
      </w:r>
      <w:r w:rsidR="0083689E">
        <w:t>nning the full system bandwidth.</w:t>
      </w:r>
    </w:p>
    <w:p w:rsidR="00841BE8" w:rsidRDefault="00841BE8" w:rsidP="00841BE8">
      <w:pPr>
        <w:pStyle w:val="Heading2"/>
      </w:pPr>
      <w:r>
        <w:t>Time-domain mapping</w:t>
      </w:r>
    </w:p>
    <w:p w:rsidR="00841BE8" w:rsidRDefault="00841BE8" w:rsidP="00841BE8">
      <w:pPr>
        <w:pStyle w:val="BodyText"/>
      </w:pPr>
      <w:r>
        <w:t>The NR design should support low latency and a pipelining-</w:t>
      </w:r>
      <w:r w:rsidR="00DF71DB">
        <w:t>friendly</w:t>
      </w:r>
      <w:r>
        <w:t xml:space="preserve"> structure is key for this. Therefore, the </w:t>
      </w:r>
      <w:r w:rsidR="00DF71DB">
        <w:t>downlink</w:t>
      </w:r>
      <w:r>
        <w:t xml:space="preserve"> control channels </w:t>
      </w:r>
      <w:r w:rsidR="00DF71DB">
        <w:t>should</w:t>
      </w:r>
      <w:r>
        <w:t xml:space="preserve"> be located at the beginning of the slot, e.g. in the first OFDM symbol. If a large number of </w:t>
      </w:r>
      <w:r w:rsidR="00DF71DB">
        <w:t>control</w:t>
      </w:r>
      <w:r>
        <w:t xml:space="preserve"> channels need to be supported in one slot (or set of aggregated slots), multiple OFDM symbols may be needed. </w:t>
      </w:r>
      <w:r w:rsidR="008B38BA">
        <w:t xml:space="preserve">In order to allow for dynamically varying </w:t>
      </w:r>
      <w:r w:rsidR="00DF71DB">
        <w:t>control</w:t>
      </w:r>
      <w:r w:rsidR="008B38BA">
        <w:t xml:space="preserve"> region, it is beneficial if not all control channel candidates span across multiple OFDM symbols as this would allow a UE to decode a control channel in the first OFDM symbol and start receiving data in the </w:t>
      </w:r>
      <w:r w:rsidR="00DF71DB">
        <w:t>second</w:t>
      </w:r>
      <w:r w:rsidR="008B38BA">
        <w:t xml:space="preserve"> one in case that OFDM symbol is not used for control </w:t>
      </w:r>
      <w:r w:rsidR="00DF71DB">
        <w:t>signaling</w:t>
      </w:r>
      <w:r w:rsidR="008B38BA">
        <w:t xml:space="preserve"> in a particular slot.</w:t>
      </w:r>
    </w:p>
    <w:p w:rsidR="008B38BA" w:rsidRPr="00841BE8" w:rsidRDefault="00DF71DB" w:rsidP="008B38BA">
      <w:pPr>
        <w:pStyle w:val="BodyText"/>
        <w:numPr>
          <w:ilvl w:val="0"/>
          <w:numId w:val="22"/>
        </w:numPr>
      </w:pPr>
      <w:r>
        <w:t>Downlink</w:t>
      </w:r>
      <w:r w:rsidR="008B38BA">
        <w:t xml:space="preserve"> control signaling is located in the first OFDM symbol(s) of a slot.</w:t>
      </w:r>
    </w:p>
    <w:p w:rsidR="00EE478D" w:rsidRDefault="00EE478D" w:rsidP="00EE478D">
      <w:pPr>
        <w:pStyle w:val="Heading2"/>
      </w:pPr>
      <w:r>
        <w:t>Blind decoding and DCI formats</w:t>
      </w:r>
    </w:p>
    <w:p w:rsidR="00643A16" w:rsidRDefault="00643A16" w:rsidP="00643A16">
      <w:pPr>
        <w:pStyle w:val="BodyText"/>
      </w:pPr>
      <w:r>
        <w:t xml:space="preserve">Blind decoding of PDCCH candidates and DCI </w:t>
      </w:r>
      <w:r w:rsidR="00DF71DB">
        <w:t>formats</w:t>
      </w:r>
      <w:r>
        <w:t xml:space="preserve"> is used in LTE. This principle can </w:t>
      </w:r>
      <w:r w:rsidR="00DF71DB">
        <w:t xml:space="preserve">advantageously </w:t>
      </w:r>
      <w:r>
        <w:t xml:space="preserve">be reused in NR although the number of blind decoding </w:t>
      </w:r>
      <w:r w:rsidR="00DF71DB">
        <w:t>attempts</w:t>
      </w:r>
      <w:r>
        <w:t xml:space="preserve"> should preferably be kept low. In LTE, the number of different DCI formats are fairly large and many of </w:t>
      </w:r>
      <w:r w:rsidR="00DF71DB">
        <w:t>them</w:t>
      </w:r>
      <w:r>
        <w:t xml:space="preserve"> differ in payload size with just a few bits. One possibility to </w:t>
      </w:r>
      <w:r w:rsidR="00DF71DB">
        <w:t>simplify</w:t>
      </w:r>
      <w:r>
        <w:t xml:space="preserve"> this structure could be to define a relatively small number of DCI payload sizes (e.g. 20, 40, 60 bits)</w:t>
      </w:r>
      <w:r w:rsidR="00EE478D">
        <w:t xml:space="preserve"> and have a small header of a few bits indicating how the remaining bits should be interpreted.</w:t>
      </w:r>
    </w:p>
    <w:p w:rsidR="00EE478D" w:rsidRDefault="00EE478D" w:rsidP="00EE478D">
      <w:pPr>
        <w:pStyle w:val="BodyText"/>
        <w:numPr>
          <w:ilvl w:val="0"/>
          <w:numId w:val="22"/>
        </w:numPr>
      </w:pPr>
      <w:r>
        <w:t>Blind decoding of PDCCH candidates is the baseline. Try to simplify the decoding process by a more structured DCI formats than in LTE.</w:t>
      </w:r>
    </w:p>
    <w:p w:rsidR="00841BE8" w:rsidRDefault="00841BE8" w:rsidP="00841BE8">
      <w:pPr>
        <w:pStyle w:val="Heading2"/>
      </w:pPr>
      <w:r>
        <w:t xml:space="preserve">URLLC and control </w:t>
      </w:r>
      <w:r w:rsidR="00DF71DB">
        <w:t>channels</w:t>
      </w:r>
    </w:p>
    <w:p w:rsidR="00841BE8" w:rsidRPr="00841BE8" w:rsidRDefault="00841BE8" w:rsidP="00841BE8">
      <w:pPr>
        <w:pStyle w:val="BodyText"/>
      </w:pPr>
      <w:r>
        <w:t xml:space="preserve">Some URLLC services may require a very high reliability compared to the ~1% error rate sufficient for </w:t>
      </w:r>
      <w:proofErr w:type="spellStart"/>
      <w:r>
        <w:t>eMBB</w:t>
      </w:r>
      <w:proofErr w:type="spellEnd"/>
      <w:r>
        <w:t xml:space="preserve"> and targeted in LTE. </w:t>
      </w:r>
      <w:r w:rsidR="008B38BA">
        <w:t>C</w:t>
      </w:r>
      <w:r>
        <w:t>ontrol-</w:t>
      </w:r>
      <w:r w:rsidR="00DF71DB">
        <w:t>channel</w:t>
      </w:r>
      <w:r>
        <w:t xml:space="preserve"> reliability can be improved by higher aggregation levels, power boosting, </w:t>
      </w:r>
      <w:r w:rsidR="008B38BA">
        <w:lastRenderedPageBreak/>
        <w:t xml:space="preserve">and various forms of diversity. Additionally, blind detection of a small number of reasonably-sized data payloads can be used to avoid control-channel errors impacting the overall error probability. </w:t>
      </w:r>
    </w:p>
    <w:p w:rsidR="00EE478D" w:rsidRDefault="00EE478D" w:rsidP="00EE478D">
      <w:pPr>
        <w:pStyle w:val="Heading1"/>
        <w:spacing w:before="180"/>
        <w:ind w:left="562" w:hanging="562"/>
      </w:pPr>
      <w:r>
        <w:t>Conclusion</w:t>
      </w:r>
    </w:p>
    <w:p w:rsidR="00EE478D" w:rsidRDefault="00EE478D" w:rsidP="00EE478D">
      <w:pPr>
        <w:pStyle w:val="BodyText"/>
      </w:pPr>
      <w:r>
        <w:t>It is proposed to adopt the following for NR:</w:t>
      </w:r>
    </w:p>
    <w:p w:rsidR="00EE478D" w:rsidRDefault="00EE478D" w:rsidP="00EE478D">
      <w:pPr>
        <w:pStyle w:val="BodyText"/>
        <w:numPr>
          <w:ilvl w:val="0"/>
          <w:numId w:val="22"/>
        </w:numPr>
      </w:pPr>
      <w:r>
        <w:t>Control channels have their own reference signal to enable beamforming</w:t>
      </w:r>
    </w:p>
    <w:p w:rsidR="00EE478D" w:rsidRDefault="00EE478D" w:rsidP="00EE478D">
      <w:pPr>
        <w:pStyle w:val="BodyText"/>
        <w:numPr>
          <w:ilvl w:val="0"/>
          <w:numId w:val="22"/>
        </w:numPr>
      </w:pPr>
      <w:r>
        <w:t xml:space="preserve">Broadcast control </w:t>
      </w:r>
      <w:r w:rsidR="00DF71DB">
        <w:t>channels</w:t>
      </w:r>
      <w:r>
        <w:t xml:space="preserve"> are avoided</w:t>
      </w:r>
    </w:p>
    <w:p w:rsidR="00EE478D" w:rsidRDefault="00EE478D" w:rsidP="00EE478D">
      <w:pPr>
        <w:pStyle w:val="BodyText"/>
        <w:numPr>
          <w:ilvl w:val="0"/>
          <w:numId w:val="22"/>
        </w:numPr>
      </w:pPr>
      <w:r>
        <w:t>Downlink control channels should be localized and not span the full system bandwidth</w:t>
      </w:r>
    </w:p>
    <w:p w:rsidR="008B38BA" w:rsidRDefault="008B38BA" w:rsidP="00EE478D">
      <w:pPr>
        <w:pStyle w:val="BodyText"/>
        <w:numPr>
          <w:ilvl w:val="0"/>
          <w:numId w:val="22"/>
        </w:numPr>
      </w:pPr>
      <w:r>
        <w:t>Downlink control channels should be located in the first OFDM symbol(s) of a slot</w:t>
      </w:r>
    </w:p>
    <w:p w:rsidR="00EE478D" w:rsidRPr="00EE478D" w:rsidRDefault="00EE478D" w:rsidP="00841BE8">
      <w:pPr>
        <w:pStyle w:val="BodyText"/>
      </w:pPr>
    </w:p>
    <w:p w:rsidR="00EE478D" w:rsidRDefault="00EE478D">
      <w:pPr>
        <w:pStyle w:val="BodyText"/>
      </w:pPr>
    </w:p>
    <w:sectPr w:rsidR="00EE478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452" w:rsidRDefault="00C13452">
      <w:r>
        <w:separator/>
      </w:r>
    </w:p>
  </w:endnote>
  <w:endnote w:type="continuationSeparator" w:id="0">
    <w:p w:rsidR="00C13452" w:rsidRDefault="00C1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452" w:rsidRDefault="00C13452">
      <w:r>
        <w:separator/>
      </w:r>
    </w:p>
  </w:footnote>
  <w:footnote w:type="continuationSeparator" w:id="0">
    <w:p w:rsidR="00C13452" w:rsidRDefault="00C1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C13452"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3592BD0"/>
    <w:multiLevelType w:val="hybridMultilevel"/>
    <w:tmpl w:val="1BE6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374F93"/>
    <w:multiLevelType w:val="hybridMultilevel"/>
    <w:tmpl w:val="DF2E7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522BA"/>
    <w:multiLevelType w:val="hybridMultilevel"/>
    <w:tmpl w:val="0964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4"/>
  </w:num>
  <w:num w:numId="4">
    <w:abstractNumId w:val="9"/>
  </w:num>
  <w:num w:numId="5">
    <w:abstractNumId w:val="5"/>
  </w:num>
  <w:num w:numId="6">
    <w:abstractNumId w:val="2"/>
  </w:num>
  <w:num w:numId="7">
    <w:abstractNumId w:val="16"/>
  </w:num>
  <w:num w:numId="8">
    <w:abstractNumId w:val="18"/>
  </w:num>
  <w:num w:numId="9">
    <w:abstractNumId w:val="18"/>
  </w:num>
  <w:num w:numId="10">
    <w:abstractNumId w:val="17"/>
  </w:num>
  <w:num w:numId="11">
    <w:abstractNumId w:val="18"/>
  </w:num>
  <w:num w:numId="12">
    <w:abstractNumId w:val="15"/>
  </w:num>
  <w:num w:numId="13">
    <w:abstractNumId w:val="1"/>
  </w:num>
  <w:num w:numId="14">
    <w:abstractNumId w:val="3"/>
  </w:num>
  <w:num w:numId="15">
    <w:abstractNumId w:val="10"/>
  </w:num>
  <w:num w:numId="16">
    <w:abstractNumId w:val="0"/>
  </w:num>
  <w:num w:numId="17">
    <w:abstractNumId w:val="6"/>
  </w:num>
  <w:num w:numId="18">
    <w:abstractNumId w:val="14"/>
  </w:num>
  <w:num w:numId="19">
    <w:abstractNumId w:val="11"/>
  </w:num>
  <w:num w:numId="20">
    <w:abstractNumId w:val="8"/>
  </w:num>
  <w:num w:numId="21">
    <w:abstractNumId w:val="13"/>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4251E"/>
    <w:rsid w:val="000944E4"/>
    <w:rsid w:val="000A258F"/>
    <w:rsid w:val="001018DF"/>
    <w:rsid w:val="00112E18"/>
    <w:rsid w:val="00114B6A"/>
    <w:rsid w:val="00141448"/>
    <w:rsid w:val="00142260"/>
    <w:rsid w:val="00175D32"/>
    <w:rsid w:val="00191E60"/>
    <w:rsid w:val="001B4110"/>
    <w:rsid w:val="001C5CE9"/>
    <w:rsid w:val="001D5808"/>
    <w:rsid w:val="0021013F"/>
    <w:rsid w:val="00214784"/>
    <w:rsid w:val="0025780D"/>
    <w:rsid w:val="00290099"/>
    <w:rsid w:val="002D0AB6"/>
    <w:rsid w:val="002E6A70"/>
    <w:rsid w:val="00304706"/>
    <w:rsid w:val="00343A18"/>
    <w:rsid w:val="00350180"/>
    <w:rsid w:val="00361CA8"/>
    <w:rsid w:val="00363390"/>
    <w:rsid w:val="003875A3"/>
    <w:rsid w:val="003A3E47"/>
    <w:rsid w:val="004067C0"/>
    <w:rsid w:val="00422F7B"/>
    <w:rsid w:val="004837C7"/>
    <w:rsid w:val="004B57FD"/>
    <w:rsid w:val="004C321E"/>
    <w:rsid w:val="004C4387"/>
    <w:rsid w:val="004D7360"/>
    <w:rsid w:val="004E70DB"/>
    <w:rsid w:val="00525831"/>
    <w:rsid w:val="005260BE"/>
    <w:rsid w:val="00537B4C"/>
    <w:rsid w:val="0054164C"/>
    <w:rsid w:val="00541E43"/>
    <w:rsid w:val="0055264E"/>
    <w:rsid w:val="0056282E"/>
    <w:rsid w:val="00566F92"/>
    <w:rsid w:val="00570BCE"/>
    <w:rsid w:val="00580D67"/>
    <w:rsid w:val="00587AD2"/>
    <w:rsid w:val="005C439D"/>
    <w:rsid w:val="005F57CF"/>
    <w:rsid w:val="0060203F"/>
    <w:rsid w:val="0061336B"/>
    <w:rsid w:val="0062673F"/>
    <w:rsid w:val="0064164A"/>
    <w:rsid w:val="00643A16"/>
    <w:rsid w:val="00665E2A"/>
    <w:rsid w:val="006A286A"/>
    <w:rsid w:val="006B271B"/>
    <w:rsid w:val="0075384C"/>
    <w:rsid w:val="007569CA"/>
    <w:rsid w:val="007A01C0"/>
    <w:rsid w:val="00815566"/>
    <w:rsid w:val="008302A2"/>
    <w:rsid w:val="00834DE7"/>
    <w:rsid w:val="0083689E"/>
    <w:rsid w:val="00841BE8"/>
    <w:rsid w:val="008739DF"/>
    <w:rsid w:val="008A0B64"/>
    <w:rsid w:val="008B23D4"/>
    <w:rsid w:val="008B38BA"/>
    <w:rsid w:val="008E31D2"/>
    <w:rsid w:val="008F77A7"/>
    <w:rsid w:val="0091488F"/>
    <w:rsid w:val="0097401A"/>
    <w:rsid w:val="009A6BB8"/>
    <w:rsid w:val="009B2E48"/>
    <w:rsid w:val="009C60EA"/>
    <w:rsid w:val="009E70EF"/>
    <w:rsid w:val="009F0F87"/>
    <w:rsid w:val="009F4079"/>
    <w:rsid w:val="00A3059E"/>
    <w:rsid w:val="00A37001"/>
    <w:rsid w:val="00A41E84"/>
    <w:rsid w:val="00A47015"/>
    <w:rsid w:val="00A757B8"/>
    <w:rsid w:val="00A808F6"/>
    <w:rsid w:val="00A81AA1"/>
    <w:rsid w:val="00A85E54"/>
    <w:rsid w:val="00AA0A42"/>
    <w:rsid w:val="00AA13EF"/>
    <w:rsid w:val="00AC2A5F"/>
    <w:rsid w:val="00AE3947"/>
    <w:rsid w:val="00B00FDB"/>
    <w:rsid w:val="00B368D9"/>
    <w:rsid w:val="00B52C5F"/>
    <w:rsid w:val="00B5516A"/>
    <w:rsid w:val="00B85DCB"/>
    <w:rsid w:val="00BA2CDD"/>
    <w:rsid w:val="00BA3D9B"/>
    <w:rsid w:val="00BA76BC"/>
    <w:rsid w:val="00BF7E13"/>
    <w:rsid w:val="00C073DB"/>
    <w:rsid w:val="00C13452"/>
    <w:rsid w:val="00C1560A"/>
    <w:rsid w:val="00C326A6"/>
    <w:rsid w:val="00C50B3C"/>
    <w:rsid w:val="00C55346"/>
    <w:rsid w:val="00C61496"/>
    <w:rsid w:val="00C93774"/>
    <w:rsid w:val="00CB4D3D"/>
    <w:rsid w:val="00CE02E7"/>
    <w:rsid w:val="00CE28B2"/>
    <w:rsid w:val="00CE4E11"/>
    <w:rsid w:val="00CF2225"/>
    <w:rsid w:val="00CF67BE"/>
    <w:rsid w:val="00D02349"/>
    <w:rsid w:val="00D03119"/>
    <w:rsid w:val="00D04257"/>
    <w:rsid w:val="00D338CE"/>
    <w:rsid w:val="00D350E3"/>
    <w:rsid w:val="00D516DD"/>
    <w:rsid w:val="00D63209"/>
    <w:rsid w:val="00D701A0"/>
    <w:rsid w:val="00DA110D"/>
    <w:rsid w:val="00DB3BC8"/>
    <w:rsid w:val="00DC085D"/>
    <w:rsid w:val="00DD1935"/>
    <w:rsid w:val="00DD4245"/>
    <w:rsid w:val="00DE3421"/>
    <w:rsid w:val="00DE63BC"/>
    <w:rsid w:val="00DF71DB"/>
    <w:rsid w:val="00DF762C"/>
    <w:rsid w:val="00E0407B"/>
    <w:rsid w:val="00E13BDA"/>
    <w:rsid w:val="00E220C0"/>
    <w:rsid w:val="00E31041"/>
    <w:rsid w:val="00E57CED"/>
    <w:rsid w:val="00E63D88"/>
    <w:rsid w:val="00E83054"/>
    <w:rsid w:val="00EA148A"/>
    <w:rsid w:val="00EA172F"/>
    <w:rsid w:val="00EA1984"/>
    <w:rsid w:val="00EC76D4"/>
    <w:rsid w:val="00EE478D"/>
    <w:rsid w:val="00F21365"/>
    <w:rsid w:val="00F37D49"/>
    <w:rsid w:val="00F51EB4"/>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13C07-7590-40FA-BDAC-783F3464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2016-09-30T08:48:00Z</dcterms:created>
  <dcterms:modified xsi:type="dcterms:W3CDTF">2016-09-30T08:48:00Z</dcterms:modified>
</cp:coreProperties>
</file>